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908D5" w:rsidP="005D0621">
            <w:pPr>
              <w:rPr>
                <w:b/>
              </w:rPr>
            </w:pPr>
            <w:r>
              <w:rPr>
                <w:rStyle w:val="Firstpagetablebold"/>
              </w:rPr>
              <w:t>12 February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E48DF" w:rsidP="009E48DF">
            <w:pPr>
              <w:rPr>
                <w:rStyle w:val="Firstpagetablebold"/>
              </w:rPr>
            </w:pPr>
            <w:r>
              <w:rPr>
                <w:rStyle w:val="Firstpagetablebold"/>
              </w:rPr>
              <w:t>Head of Housing and Property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32ED2" w:rsidP="004A6D2F">
            <w:pPr>
              <w:rPr>
                <w:rStyle w:val="Firstpagetablebold"/>
              </w:rPr>
            </w:pPr>
            <w:r>
              <w:rPr>
                <w:rStyle w:val="Firstpagetablebold"/>
              </w:rPr>
              <w:t>Oxford Rent Guarantee Pilot Review</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32ED2" w:rsidP="000853AC">
            <w:r>
              <w:t xml:space="preserve">To review the Oxford Rent Guarantee </w:t>
            </w:r>
            <w:r w:rsidR="000853AC">
              <w:t xml:space="preserve">pilot </w:t>
            </w:r>
            <w:r>
              <w:t xml:space="preserve">and </w:t>
            </w:r>
            <w:r w:rsidR="000853AC">
              <w:t xml:space="preserve">recommend adopting this approach as the default model for placing households </w:t>
            </w:r>
            <w:r w:rsidR="001C7192">
              <w:t xml:space="preserve">who are </w:t>
            </w:r>
            <w:r w:rsidR="000853AC">
              <w:t>at risk of homelessness, in</w:t>
            </w:r>
            <w:r w:rsidR="001C7192">
              <w:t>to</w:t>
            </w:r>
            <w:r w:rsidR="000853AC">
              <w:t xml:space="preserve"> private rented accommodation</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5F7F7E">
            <w:r w:rsidRPr="001356F1">
              <w:t>Councillo</w:t>
            </w:r>
            <w:r w:rsidR="00A6718F">
              <w:t>r Linda Smith</w:t>
            </w:r>
            <w:r w:rsidR="005529DF">
              <w:t xml:space="preserve">, </w:t>
            </w:r>
            <w:r w:rsidR="00FF5051">
              <w:t xml:space="preserve">Deputy Leader (Statutory) Leisure and </w:t>
            </w:r>
            <w:r w:rsidR="005529DF">
              <w:t>Housing</w:t>
            </w:r>
            <w:r w:rsidR="00A6718F">
              <w:t xml:space="preserve"> Needs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9909D7" w:rsidP="00FB7D2C">
            <w:r>
              <w:t>Meeting h</w:t>
            </w:r>
            <w:r w:rsidR="005529DF">
              <w:t xml:space="preserve">ousing need &amp; </w:t>
            </w:r>
            <w:r w:rsidR="00FB7D2C">
              <w:t>E</w:t>
            </w:r>
            <w:r w:rsidR="005529DF">
              <w:t>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5529DF" w:rsidP="005F7F7E">
            <w:r>
              <w:t xml:space="preserve">Housing and </w:t>
            </w:r>
            <w:r w:rsidR="00C234AA">
              <w:t>Homelessness</w:t>
            </w:r>
            <w:r w:rsidR="009909D7">
              <w:t xml:space="preserve"> Strategy 2018</w:t>
            </w:r>
            <w:r>
              <w:t>-22</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5529DF" w:rsidRDefault="006B5602" w:rsidP="009E48DF">
            <w:pPr>
              <w:rPr>
                <w:b/>
              </w:rPr>
            </w:pPr>
            <w:r w:rsidRPr="006B5602">
              <w:rPr>
                <w:rStyle w:val="Firstpagetablebold"/>
                <w:b w:val="0"/>
              </w:rPr>
              <w:t>Agree in principle for the Oxford Rent Guarantee to be adopted as</w:t>
            </w:r>
            <w:r>
              <w:rPr>
                <w:rStyle w:val="Firstpagetablebold"/>
                <w:b w:val="0"/>
              </w:rPr>
              <w:t xml:space="preserve"> </w:t>
            </w:r>
            <w:r w:rsidRPr="006B5602">
              <w:rPr>
                <w:rStyle w:val="Firstpagetablebold"/>
                <w:b w:val="0"/>
              </w:rPr>
              <w:t>“business as usual” by the Private Sector team from April 2019, as outlined in the report. This is subject to adequate budget provision being made on an ongoing basis from uncommitted Housing Needs reserves in future years</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5529DF" w:rsidP="000853AC">
            <w:r>
              <w:t xml:space="preserve">Delegate authority to the Head of Housing </w:t>
            </w:r>
            <w:r w:rsidR="004E6D19">
              <w:t>to make</w:t>
            </w:r>
            <w:r>
              <w:t xml:space="preserve"> any </w:t>
            </w:r>
            <w:r w:rsidR="00FE0570">
              <w:t>administrative changes</w:t>
            </w:r>
            <w:r>
              <w:t xml:space="preserve"> </w:t>
            </w:r>
            <w:r w:rsidR="000853AC">
              <w:t xml:space="preserve">to the scheme in order to </w:t>
            </w:r>
            <w:r>
              <w:t>improve the customer offer</w:t>
            </w:r>
            <w:r w:rsidR="00BB2F51">
              <w:t xml:space="preserve"> and </w:t>
            </w:r>
            <w:r w:rsidR="00090CC9">
              <w:t xml:space="preserve">to </w:t>
            </w:r>
            <w:r w:rsidR="00F47090">
              <w:t>operate the scheme effectively.</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Default="00ED5860" w:rsidP="004A6D2F">
            <w:r w:rsidRPr="00975B07">
              <w:t>Appendix 1</w:t>
            </w:r>
          </w:p>
          <w:p w:rsidR="006A0894" w:rsidRDefault="006A0894" w:rsidP="004A6D2F">
            <w:r>
              <w:t>Appendix 2</w:t>
            </w:r>
          </w:p>
          <w:p w:rsidR="00FE0570" w:rsidRPr="00975B07" w:rsidRDefault="00FE0570" w:rsidP="004A6D2F">
            <w:r>
              <w:t>Appendix 3</w:t>
            </w:r>
          </w:p>
        </w:tc>
        <w:tc>
          <w:tcPr>
            <w:tcW w:w="6406" w:type="dxa"/>
            <w:tcBorders>
              <w:top w:val="single" w:sz="8" w:space="0" w:color="000000"/>
              <w:left w:val="nil"/>
              <w:bottom w:val="nil"/>
              <w:right w:val="single" w:sz="8" w:space="0" w:color="000000"/>
            </w:tcBorders>
          </w:tcPr>
          <w:p w:rsidR="00ED5860" w:rsidRDefault="005529DF" w:rsidP="004A6D2F">
            <w:r>
              <w:t>Risk Register</w:t>
            </w:r>
          </w:p>
          <w:p w:rsidR="004A7DB9" w:rsidRDefault="00A6718F" w:rsidP="004A6D2F">
            <w:r>
              <w:t>Oxford Rent Guar</w:t>
            </w:r>
            <w:r w:rsidR="00FB7D2C">
              <w:t>a</w:t>
            </w:r>
            <w:r>
              <w:t>ntee- Two</w:t>
            </w:r>
            <w:r w:rsidR="004A7DB9">
              <w:t xml:space="preserve"> year review</w:t>
            </w:r>
          </w:p>
          <w:p w:rsidR="006A0894" w:rsidRPr="001356F1" w:rsidRDefault="00FB7D2C" w:rsidP="00584510">
            <w:r>
              <w:t>C</w:t>
            </w:r>
            <w:r w:rsidR="00FE0570">
              <w:t>ase study</w:t>
            </w:r>
            <w:bookmarkStart w:id="0" w:name="_GoBack"/>
            <w:bookmarkEnd w:id="0"/>
          </w:p>
        </w:tc>
      </w:tr>
      <w:tr w:rsidR="00ED5860" w:rsidRPr="00975B07" w:rsidTr="00584510">
        <w:tc>
          <w:tcPr>
            <w:tcW w:w="2438" w:type="dxa"/>
            <w:tcBorders>
              <w:top w:val="nil"/>
              <w:left w:val="single" w:sz="8" w:space="0" w:color="000000"/>
              <w:bottom w:val="nil"/>
              <w:right w:val="nil"/>
            </w:tcBorders>
            <w:shd w:val="clear" w:color="auto" w:fill="auto"/>
          </w:tcPr>
          <w:p w:rsidR="00ED5860" w:rsidRPr="00975B07" w:rsidRDefault="00ED5860" w:rsidP="004A6D2F"/>
        </w:tc>
        <w:tc>
          <w:tcPr>
            <w:tcW w:w="6406" w:type="dxa"/>
            <w:tcBorders>
              <w:top w:val="nil"/>
              <w:left w:val="nil"/>
              <w:bottom w:val="nil"/>
              <w:right w:val="single" w:sz="8" w:space="0" w:color="000000"/>
            </w:tcBorders>
          </w:tcPr>
          <w:p w:rsidR="00ED5860" w:rsidRPr="001356F1" w:rsidRDefault="00ED5860" w:rsidP="004A6D2F"/>
        </w:tc>
      </w:tr>
      <w:tr w:rsidR="0030208D" w:rsidRPr="00975B07" w:rsidTr="00584510">
        <w:tc>
          <w:tcPr>
            <w:tcW w:w="2438" w:type="dxa"/>
            <w:tcBorders>
              <w:top w:val="nil"/>
              <w:left w:val="single" w:sz="8" w:space="0" w:color="000000"/>
              <w:bottom w:val="single" w:sz="4" w:space="0" w:color="auto"/>
              <w:right w:val="nil"/>
            </w:tcBorders>
            <w:shd w:val="clear" w:color="auto" w:fill="auto"/>
          </w:tcPr>
          <w:p w:rsidR="0030208D" w:rsidRPr="00975B07" w:rsidRDefault="0030208D" w:rsidP="004A6D2F"/>
        </w:tc>
        <w:tc>
          <w:tcPr>
            <w:tcW w:w="6406" w:type="dxa"/>
            <w:tcBorders>
              <w:top w:val="nil"/>
              <w:left w:val="nil"/>
              <w:bottom w:val="single" w:sz="4" w:space="0" w:color="auto"/>
              <w:right w:val="single" w:sz="8" w:space="0" w:color="000000"/>
            </w:tcBorders>
          </w:tcPr>
          <w:p w:rsidR="0030208D" w:rsidRPr="001356F1" w:rsidRDefault="0030208D" w:rsidP="004A6D2F"/>
        </w:tc>
      </w:tr>
    </w:tbl>
    <w:p w:rsidR="0083192D" w:rsidRDefault="0083192D" w:rsidP="0083192D">
      <w:pPr>
        <w:pStyle w:val="Heading1"/>
      </w:pPr>
    </w:p>
    <w:p w:rsidR="00017B51" w:rsidRDefault="00F66DCA" w:rsidP="0083192D">
      <w:pPr>
        <w:pStyle w:val="Heading1"/>
      </w:pPr>
      <w:r w:rsidRPr="001356F1">
        <w:t>Introduction and b</w:t>
      </w:r>
      <w:r w:rsidR="0083192D">
        <w:t>ackground</w:t>
      </w:r>
    </w:p>
    <w:p w:rsidR="00017B51" w:rsidRDefault="009411E0" w:rsidP="00017B51">
      <w:pPr>
        <w:pStyle w:val="ListParagraph"/>
      </w:pPr>
      <w:r>
        <w:t>The Home Choice pilot (</w:t>
      </w:r>
      <w:r w:rsidR="00231881">
        <w:t xml:space="preserve">branded Oxford Rent Guarantee) was approved by </w:t>
      </w:r>
      <w:r w:rsidR="001C7192">
        <w:t xml:space="preserve">the </w:t>
      </w:r>
      <w:r w:rsidR="00231881">
        <w:t>City Executive Board</w:t>
      </w:r>
      <w:r w:rsidR="001C7192">
        <w:t xml:space="preserve"> (CEB)</w:t>
      </w:r>
      <w:r w:rsidR="00231881">
        <w:t xml:space="preserve"> on 15</w:t>
      </w:r>
      <w:r w:rsidR="00231881" w:rsidRPr="00231881">
        <w:rPr>
          <w:vertAlign w:val="superscript"/>
        </w:rPr>
        <w:t>th</w:t>
      </w:r>
      <w:r w:rsidR="00231881">
        <w:t xml:space="preserve"> September 2016 to run for two years</w:t>
      </w:r>
      <w:r w:rsidR="00F47090">
        <w:t>.  O</w:t>
      </w:r>
      <w:r w:rsidR="00231881">
        <w:t>n 18</w:t>
      </w:r>
      <w:r w:rsidR="00231881" w:rsidRPr="00231881">
        <w:rPr>
          <w:vertAlign w:val="superscript"/>
        </w:rPr>
        <w:t>th</w:t>
      </w:r>
      <w:r w:rsidR="00231881">
        <w:t xml:space="preserve"> June 2018 the </w:t>
      </w:r>
      <w:r w:rsidR="00F47090">
        <w:t>B</w:t>
      </w:r>
      <w:r w:rsidR="00231881">
        <w:t>oard agreed to extend this project until April 2019. This report</w:t>
      </w:r>
      <w:r>
        <w:t xml:space="preserve"> evaluates the pilot </w:t>
      </w:r>
      <w:r w:rsidR="004E6D19">
        <w:t>to enable the</w:t>
      </w:r>
      <w:r>
        <w:t xml:space="preserve"> </w:t>
      </w:r>
      <w:r w:rsidR="00F47090">
        <w:t>City Executive Board</w:t>
      </w:r>
      <w:r w:rsidR="004E6D19">
        <w:t xml:space="preserve"> </w:t>
      </w:r>
      <w:r>
        <w:t>to decide</w:t>
      </w:r>
      <w:r w:rsidR="004E6D19">
        <w:t xml:space="preserve"> </w:t>
      </w:r>
      <w:r w:rsidR="00FE0570">
        <w:t>whether to</w:t>
      </w:r>
      <w:r>
        <w:t xml:space="preserve"> continue with the scheme</w:t>
      </w:r>
      <w:r w:rsidR="004E6D19">
        <w:t>, subject to</w:t>
      </w:r>
      <w:r w:rsidR="00F34E07">
        <w:t xml:space="preserve"> adequate budget allocation </w:t>
      </w:r>
      <w:r w:rsidR="004E6D19">
        <w:t>being</w:t>
      </w:r>
      <w:r w:rsidR="00F34E07">
        <w:t xml:space="preserve"> made in the 2019/20 budget</w:t>
      </w:r>
      <w:r w:rsidR="000853AC">
        <w:t>.</w:t>
      </w:r>
    </w:p>
    <w:p w:rsidR="00FC3BA8" w:rsidRDefault="009411E0" w:rsidP="00017B51">
      <w:pPr>
        <w:pStyle w:val="ListParagraph"/>
        <w:rPr>
          <w:rFonts w:eastAsia="Calibri"/>
        </w:rPr>
      </w:pPr>
      <w:r>
        <w:rPr>
          <w:rFonts w:eastAsia="Calibri"/>
        </w:rPr>
        <w:t xml:space="preserve">Oxford Rent Guarantee </w:t>
      </w:r>
      <w:r w:rsidR="002366E3">
        <w:rPr>
          <w:rFonts w:eastAsia="Calibri"/>
        </w:rPr>
        <w:t xml:space="preserve">(ORG) </w:t>
      </w:r>
      <w:r>
        <w:rPr>
          <w:rFonts w:eastAsia="Calibri"/>
        </w:rPr>
        <w:t>is an add</w:t>
      </w:r>
      <w:r w:rsidR="000853AC">
        <w:rPr>
          <w:rFonts w:eastAsia="Calibri"/>
        </w:rPr>
        <w:t>itional</w:t>
      </w:r>
      <w:r>
        <w:rPr>
          <w:rFonts w:eastAsia="Calibri"/>
        </w:rPr>
        <w:t xml:space="preserve"> service to the existing private rental access scheme branded Home Choice</w:t>
      </w:r>
      <w:r w:rsidR="00F47090">
        <w:rPr>
          <w:rFonts w:eastAsia="Calibri"/>
        </w:rPr>
        <w:t>, which</w:t>
      </w:r>
      <w:r>
        <w:rPr>
          <w:rFonts w:eastAsia="Calibri"/>
        </w:rPr>
        <w:t xml:space="preserve"> started in 2003</w:t>
      </w:r>
      <w:r w:rsidR="00BC7EEE">
        <w:rPr>
          <w:rFonts w:eastAsia="Calibri"/>
        </w:rPr>
        <w:t>. This</w:t>
      </w:r>
      <w:r>
        <w:rPr>
          <w:rFonts w:eastAsia="Calibri"/>
        </w:rPr>
        <w:t xml:space="preserve"> is a tenant find and support service to house families threatened with homelessness. Home Choice has helped over 1</w:t>
      </w:r>
      <w:r w:rsidR="000853AC">
        <w:rPr>
          <w:rFonts w:eastAsia="Calibri"/>
        </w:rPr>
        <w:t>,</w:t>
      </w:r>
      <w:r>
        <w:rPr>
          <w:rFonts w:eastAsia="Calibri"/>
        </w:rPr>
        <w:t>9</w:t>
      </w:r>
      <w:r w:rsidR="00C908D5">
        <w:rPr>
          <w:rFonts w:eastAsia="Calibri"/>
        </w:rPr>
        <w:t>4</w:t>
      </w:r>
      <w:r>
        <w:rPr>
          <w:rFonts w:eastAsia="Calibri"/>
        </w:rPr>
        <w:t>0 households into the private rented sector (PRS)</w:t>
      </w:r>
      <w:r w:rsidR="00FE0570">
        <w:rPr>
          <w:rFonts w:eastAsia="Calibri"/>
        </w:rPr>
        <w:t>. H</w:t>
      </w:r>
      <w:r>
        <w:rPr>
          <w:rFonts w:eastAsia="Calibri"/>
        </w:rPr>
        <w:t xml:space="preserve">owever the number of </w:t>
      </w:r>
      <w:r w:rsidR="002366E3">
        <w:rPr>
          <w:rFonts w:eastAsia="Calibri"/>
        </w:rPr>
        <w:t xml:space="preserve">new </w:t>
      </w:r>
      <w:r>
        <w:rPr>
          <w:rFonts w:eastAsia="Calibri"/>
        </w:rPr>
        <w:t xml:space="preserve">lets </w:t>
      </w:r>
      <w:r w:rsidR="002366E3">
        <w:rPr>
          <w:rFonts w:eastAsia="Calibri"/>
        </w:rPr>
        <w:t>was</w:t>
      </w:r>
      <w:r>
        <w:rPr>
          <w:rFonts w:eastAsia="Calibri"/>
        </w:rPr>
        <w:t xml:space="preserve"> declin</w:t>
      </w:r>
      <w:r w:rsidR="00FB7D2C">
        <w:rPr>
          <w:rFonts w:eastAsia="Calibri"/>
        </w:rPr>
        <w:t>ing</w:t>
      </w:r>
      <w:r w:rsidR="000853AC">
        <w:rPr>
          <w:rFonts w:eastAsia="Calibri"/>
        </w:rPr>
        <w:t>,</w:t>
      </w:r>
      <w:r>
        <w:rPr>
          <w:rFonts w:eastAsia="Calibri"/>
        </w:rPr>
        <w:t xml:space="preserve"> </w:t>
      </w:r>
      <w:r w:rsidR="002366E3">
        <w:rPr>
          <w:rFonts w:eastAsia="Calibri"/>
        </w:rPr>
        <w:t xml:space="preserve">especially </w:t>
      </w:r>
      <w:r w:rsidR="00F47090">
        <w:rPr>
          <w:rFonts w:eastAsia="Calibri"/>
        </w:rPr>
        <w:t>as the PRS affordability gap widen</w:t>
      </w:r>
      <w:r w:rsidR="00FB7D2C">
        <w:rPr>
          <w:rFonts w:eastAsia="Calibri"/>
        </w:rPr>
        <w:t>ed</w:t>
      </w:r>
      <w:r w:rsidR="00F47090">
        <w:rPr>
          <w:rFonts w:eastAsia="Calibri"/>
        </w:rPr>
        <w:t xml:space="preserve"> </w:t>
      </w:r>
      <w:r w:rsidR="00FE0570">
        <w:rPr>
          <w:rFonts w:eastAsia="Calibri"/>
        </w:rPr>
        <w:t xml:space="preserve">– the gap between Government imposed local housing allowance caps and the market rent </w:t>
      </w:r>
      <w:r w:rsidR="00F47090">
        <w:rPr>
          <w:rFonts w:eastAsia="Calibri"/>
        </w:rPr>
        <w:t>(</w:t>
      </w:r>
      <w:r>
        <w:rPr>
          <w:rFonts w:eastAsia="Calibri"/>
        </w:rPr>
        <w:t xml:space="preserve">in the city </w:t>
      </w:r>
      <w:r w:rsidR="00FB7D2C">
        <w:rPr>
          <w:rFonts w:eastAsia="Calibri"/>
        </w:rPr>
        <w:t>which is</w:t>
      </w:r>
      <w:r w:rsidR="00F47090">
        <w:rPr>
          <w:rFonts w:eastAsia="Calibri"/>
        </w:rPr>
        <w:t xml:space="preserve"> </w:t>
      </w:r>
      <w:r>
        <w:rPr>
          <w:rFonts w:eastAsia="Calibri"/>
        </w:rPr>
        <w:t>the least affordable in the UK</w:t>
      </w:r>
      <w:r w:rsidR="00F47090">
        <w:rPr>
          <w:rFonts w:eastAsia="Calibri"/>
        </w:rPr>
        <w:t>)</w:t>
      </w:r>
      <w:r w:rsidR="002366E3">
        <w:rPr>
          <w:rFonts w:eastAsia="Calibri"/>
        </w:rPr>
        <w:t>.</w:t>
      </w:r>
    </w:p>
    <w:p w:rsidR="002366E3" w:rsidRDefault="002366E3" w:rsidP="002366E3">
      <w:pPr>
        <w:pStyle w:val="ListParagraph"/>
        <w:rPr>
          <w:rFonts w:eastAsia="Calibri"/>
        </w:rPr>
      </w:pPr>
      <w:r>
        <w:rPr>
          <w:rFonts w:eastAsia="Calibri"/>
        </w:rPr>
        <w:t xml:space="preserve">ORG </w:t>
      </w:r>
      <w:r w:rsidR="00FE0570">
        <w:rPr>
          <w:rFonts w:eastAsia="Calibri"/>
        </w:rPr>
        <w:t>uses</w:t>
      </w:r>
      <w:r w:rsidR="000853AC">
        <w:rPr>
          <w:rFonts w:eastAsia="Calibri"/>
        </w:rPr>
        <w:t xml:space="preserve"> </w:t>
      </w:r>
      <w:r>
        <w:rPr>
          <w:rFonts w:eastAsia="Calibri"/>
        </w:rPr>
        <w:t xml:space="preserve">private rented tenancies to </w:t>
      </w:r>
      <w:r w:rsidR="001C111D">
        <w:rPr>
          <w:rFonts w:eastAsia="Calibri"/>
        </w:rPr>
        <w:t xml:space="preserve">avoid </w:t>
      </w:r>
      <w:r>
        <w:rPr>
          <w:rFonts w:eastAsia="Calibri"/>
        </w:rPr>
        <w:t>homelessness, as well as discharging the Council</w:t>
      </w:r>
      <w:r w:rsidR="001C7192">
        <w:rPr>
          <w:rFonts w:eastAsia="Calibri"/>
        </w:rPr>
        <w:t>’</w:t>
      </w:r>
      <w:r>
        <w:rPr>
          <w:rFonts w:eastAsia="Calibri"/>
        </w:rPr>
        <w:t>s homelessness duty under the Homeless</w:t>
      </w:r>
      <w:r w:rsidR="00F47090">
        <w:rPr>
          <w:rFonts w:eastAsia="Calibri"/>
        </w:rPr>
        <w:t>ness</w:t>
      </w:r>
      <w:r>
        <w:rPr>
          <w:rFonts w:eastAsia="Calibri"/>
        </w:rPr>
        <w:t xml:space="preserve"> Reduction Act 2017 by making private rented sector offers</w:t>
      </w:r>
      <w:r w:rsidR="00F814B4">
        <w:rPr>
          <w:rFonts w:eastAsia="Calibri"/>
        </w:rPr>
        <w:t xml:space="preserve"> in the Oxford </w:t>
      </w:r>
      <w:r w:rsidR="003B7983">
        <w:rPr>
          <w:rFonts w:eastAsia="Calibri"/>
        </w:rPr>
        <w:t xml:space="preserve">public transport commute </w:t>
      </w:r>
      <w:r w:rsidR="00F814B4">
        <w:rPr>
          <w:rFonts w:eastAsia="Calibri"/>
        </w:rPr>
        <w:t>area</w:t>
      </w:r>
      <w:r>
        <w:rPr>
          <w:rFonts w:eastAsia="Calibri"/>
        </w:rPr>
        <w:t>.</w:t>
      </w:r>
      <w:r w:rsidR="00F814B4">
        <w:rPr>
          <w:rFonts w:eastAsia="Calibri"/>
        </w:rPr>
        <w:t xml:space="preserve"> This is a critical success factor in helping people meet their personal housing plans under the Act.</w:t>
      </w:r>
    </w:p>
    <w:p w:rsidR="002366E3" w:rsidRPr="002366E3" w:rsidRDefault="00BC7EEE" w:rsidP="002366E3">
      <w:pPr>
        <w:pStyle w:val="ListParagraph"/>
        <w:rPr>
          <w:rFonts w:eastAsia="Calibri"/>
        </w:rPr>
      </w:pPr>
      <w:r>
        <w:rPr>
          <w:rFonts w:eastAsia="Calibri"/>
        </w:rPr>
        <w:t>ORG a</w:t>
      </w:r>
      <w:r w:rsidR="002366E3">
        <w:rPr>
          <w:rFonts w:eastAsia="Calibri"/>
        </w:rPr>
        <w:t xml:space="preserve">ims to reduce the pressures on temporary accommodation by </w:t>
      </w:r>
      <w:r w:rsidR="00F47090">
        <w:rPr>
          <w:rFonts w:eastAsia="Calibri"/>
        </w:rPr>
        <w:t xml:space="preserve">ensuring the continued provision of a supply of </w:t>
      </w:r>
      <w:r w:rsidR="002366E3">
        <w:rPr>
          <w:rFonts w:eastAsia="Calibri"/>
        </w:rPr>
        <w:t xml:space="preserve">cost-effective alternative accommodation </w:t>
      </w:r>
      <w:r w:rsidR="00F47090">
        <w:rPr>
          <w:rFonts w:eastAsia="Calibri"/>
        </w:rPr>
        <w:t xml:space="preserve">for </w:t>
      </w:r>
      <w:r w:rsidR="002366E3">
        <w:rPr>
          <w:rFonts w:eastAsia="Calibri"/>
        </w:rPr>
        <w:t>people threatened</w:t>
      </w:r>
      <w:r w:rsidR="00046CD1">
        <w:rPr>
          <w:rFonts w:eastAsia="Calibri"/>
        </w:rPr>
        <w:t xml:space="preserve"> with homelessness</w:t>
      </w:r>
      <w:r w:rsidR="00F47090">
        <w:rPr>
          <w:rFonts w:eastAsia="Calibri"/>
        </w:rPr>
        <w:t>,</w:t>
      </w:r>
      <w:r w:rsidR="002366E3">
        <w:rPr>
          <w:rFonts w:eastAsia="Calibri"/>
        </w:rPr>
        <w:t xml:space="preserve"> or who are homeless, </w:t>
      </w:r>
      <w:r w:rsidR="00F47090">
        <w:rPr>
          <w:rFonts w:eastAsia="Calibri"/>
        </w:rPr>
        <w:t>to access</w:t>
      </w:r>
      <w:r w:rsidR="006F3198">
        <w:rPr>
          <w:rFonts w:eastAsia="Calibri"/>
        </w:rPr>
        <w:t>. Support is also provided to</w:t>
      </w:r>
      <w:r w:rsidR="00F47090">
        <w:rPr>
          <w:rFonts w:eastAsia="Calibri"/>
        </w:rPr>
        <w:t xml:space="preserve"> </w:t>
      </w:r>
      <w:r w:rsidR="002366E3">
        <w:rPr>
          <w:rFonts w:eastAsia="Calibri"/>
        </w:rPr>
        <w:t xml:space="preserve">improve </w:t>
      </w:r>
      <w:r w:rsidR="008F7BE2">
        <w:rPr>
          <w:rFonts w:eastAsia="Calibri"/>
        </w:rPr>
        <w:t>families’</w:t>
      </w:r>
      <w:r w:rsidR="001C111D">
        <w:rPr>
          <w:rFonts w:eastAsia="Calibri"/>
        </w:rPr>
        <w:t xml:space="preserve"> capability to a level where they can </w:t>
      </w:r>
      <w:r w:rsidR="006F3198">
        <w:rPr>
          <w:rFonts w:eastAsia="Calibri"/>
        </w:rPr>
        <w:t>sustain a tenancy independently</w:t>
      </w:r>
      <w:r w:rsidR="002366E3">
        <w:rPr>
          <w:rFonts w:eastAsia="Calibri"/>
        </w:rPr>
        <w:t>.</w:t>
      </w:r>
    </w:p>
    <w:p w:rsidR="002366E3" w:rsidRDefault="002366E3" w:rsidP="00017B51">
      <w:pPr>
        <w:pStyle w:val="ListParagraph"/>
        <w:rPr>
          <w:rFonts w:eastAsia="Calibri"/>
        </w:rPr>
      </w:pPr>
      <w:r>
        <w:rPr>
          <w:rFonts w:eastAsia="Calibri"/>
        </w:rPr>
        <w:t xml:space="preserve">Rents charged to tenants are </w:t>
      </w:r>
      <w:r w:rsidR="006F3198">
        <w:rPr>
          <w:rFonts w:eastAsia="Calibri"/>
        </w:rPr>
        <w:t xml:space="preserve">set at </w:t>
      </w:r>
      <w:r w:rsidR="008F7BE2">
        <w:rPr>
          <w:rFonts w:eastAsia="Calibri"/>
        </w:rPr>
        <w:t xml:space="preserve">the local housing allowance rates </w:t>
      </w:r>
      <w:r w:rsidR="001D68B6">
        <w:rPr>
          <w:rFonts w:eastAsia="Calibri"/>
        </w:rPr>
        <w:t xml:space="preserve">plus </w:t>
      </w:r>
      <w:r w:rsidR="004D6ACD">
        <w:rPr>
          <w:rFonts w:eastAsia="Calibri"/>
        </w:rPr>
        <w:t>up to</w:t>
      </w:r>
      <w:r w:rsidR="006F3198">
        <w:rPr>
          <w:rFonts w:eastAsia="Calibri"/>
        </w:rPr>
        <w:t xml:space="preserve"> an additional</w:t>
      </w:r>
      <w:r w:rsidR="00AA319F">
        <w:rPr>
          <w:rFonts w:eastAsia="Calibri"/>
        </w:rPr>
        <w:t>10%</w:t>
      </w:r>
      <w:r w:rsidR="00BC7EEE">
        <w:rPr>
          <w:rFonts w:eastAsia="Calibri"/>
        </w:rPr>
        <w:t xml:space="preserve">. </w:t>
      </w:r>
      <w:r w:rsidR="001C111D">
        <w:rPr>
          <w:rFonts w:eastAsia="Calibri"/>
        </w:rPr>
        <w:t>The Council pays</w:t>
      </w:r>
      <w:r w:rsidR="00AA319F">
        <w:rPr>
          <w:rFonts w:eastAsia="Calibri"/>
        </w:rPr>
        <w:t xml:space="preserve"> </w:t>
      </w:r>
      <w:r w:rsidR="008705A4">
        <w:rPr>
          <w:rFonts w:eastAsia="Calibri"/>
        </w:rPr>
        <w:t xml:space="preserve">landlords </w:t>
      </w:r>
      <w:r w:rsidR="008F7BE2">
        <w:rPr>
          <w:rFonts w:eastAsia="Calibri"/>
        </w:rPr>
        <w:t xml:space="preserve">three </w:t>
      </w:r>
      <w:r w:rsidR="008705A4">
        <w:rPr>
          <w:rFonts w:eastAsia="Calibri"/>
        </w:rPr>
        <w:t>months’</w:t>
      </w:r>
      <w:r w:rsidR="008F7BE2">
        <w:rPr>
          <w:rFonts w:eastAsia="Calibri"/>
        </w:rPr>
        <w:t xml:space="preserve"> </w:t>
      </w:r>
      <w:r w:rsidR="001C111D">
        <w:rPr>
          <w:rFonts w:eastAsia="Calibri"/>
        </w:rPr>
        <w:t xml:space="preserve">rent </w:t>
      </w:r>
      <w:r w:rsidR="008F7BE2">
        <w:rPr>
          <w:rFonts w:eastAsia="Calibri"/>
        </w:rPr>
        <w:t xml:space="preserve">in advance. The selling point for landlords accepting this deal at less than market </w:t>
      </w:r>
      <w:r w:rsidR="00B26978">
        <w:rPr>
          <w:rFonts w:eastAsia="Calibri"/>
        </w:rPr>
        <w:t>rent</w:t>
      </w:r>
      <w:r w:rsidR="008F7BE2">
        <w:rPr>
          <w:rFonts w:eastAsia="Calibri"/>
        </w:rPr>
        <w:t xml:space="preserve"> is a safe and reliable service w</w:t>
      </w:r>
      <w:r w:rsidR="00BC7EEE">
        <w:rPr>
          <w:rFonts w:eastAsia="Calibri"/>
        </w:rPr>
        <w:t>ith guaranteed rent</w:t>
      </w:r>
      <w:r w:rsidR="00F47090">
        <w:rPr>
          <w:rFonts w:eastAsia="Calibri"/>
        </w:rPr>
        <w:t>al income</w:t>
      </w:r>
      <w:r w:rsidR="001C111D">
        <w:rPr>
          <w:rFonts w:eastAsia="Calibri"/>
        </w:rPr>
        <w:t xml:space="preserve"> and</w:t>
      </w:r>
      <w:r w:rsidR="00BC7EEE">
        <w:rPr>
          <w:rFonts w:eastAsia="Calibri"/>
        </w:rPr>
        <w:t xml:space="preserve"> no fee</w:t>
      </w:r>
      <w:r w:rsidR="001C111D">
        <w:rPr>
          <w:rFonts w:eastAsia="Calibri"/>
        </w:rPr>
        <w:t>s</w:t>
      </w:r>
      <w:r w:rsidR="008F7BE2">
        <w:rPr>
          <w:rFonts w:eastAsia="Calibri"/>
        </w:rPr>
        <w:t>.</w:t>
      </w:r>
    </w:p>
    <w:p w:rsidR="00502820" w:rsidRDefault="008F7BE2" w:rsidP="00502820">
      <w:pPr>
        <w:pStyle w:val="ListParagraph"/>
        <w:rPr>
          <w:rFonts w:eastAsia="Calibri"/>
        </w:rPr>
      </w:pPr>
      <w:r>
        <w:rPr>
          <w:rFonts w:eastAsia="Calibri"/>
        </w:rPr>
        <w:t xml:space="preserve">The unique selling point of ORG compared with </w:t>
      </w:r>
      <w:r w:rsidR="001C111D">
        <w:rPr>
          <w:rFonts w:eastAsia="Calibri"/>
        </w:rPr>
        <w:t>similar schemes elsewhere</w:t>
      </w:r>
      <w:r>
        <w:rPr>
          <w:rFonts w:eastAsia="Calibri"/>
        </w:rPr>
        <w:t xml:space="preserve"> is that tenants are coached to gain financial independence and better resilience to prevent any future homelessness</w:t>
      </w:r>
      <w:r w:rsidR="00F47090">
        <w:rPr>
          <w:rFonts w:eastAsia="Calibri"/>
        </w:rPr>
        <w:t xml:space="preserve">, and to move-on from the scheme.  The approach is </w:t>
      </w:r>
      <w:r w:rsidR="006F3198">
        <w:rPr>
          <w:rFonts w:eastAsia="Calibri"/>
        </w:rPr>
        <w:t>modelled on the support provided by</w:t>
      </w:r>
      <w:r w:rsidR="00F47090">
        <w:rPr>
          <w:rFonts w:eastAsia="Calibri"/>
        </w:rPr>
        <w:t xml:space="preserve"> the Welfare Reform Team, </w:t>
      </w:r>
      <w:r w:rsidR="006F3198">
        <w:rPr>
          <w:rFonts w:eastAsia="Calibri"/>
        </w:rPr>
        <w:t>in the administration</w:t>
      </w:r>
      <w:r w:rsidR="00F47090">
        <w:rPr>
          <w:rFonts w:eastAsia="Calibri"/>
        </w:rPr>
        <w:t xml:space="preserve"> of Discretionary Housing Payment (DHP) applications</w:t>
      </w:r>
      <w:r w:rsidR="00502820">
        <w:rPr>
          <w:rFonts w:eastAsia="Calibri"/>
        </w:rPr>
        <w:t>.</w:t>
      </w:r>
    </w:p>
    <w:p w:rsidR="005D5C50" w:rsidRDefault="00502820" w:rsidP="00502820">
      <w:pPr>
        <w:pStyle w:val="ListParagraph"/>
        <w:rPr>
          <w:rFonts w:eastAsia="Calibri"/>
        </w:rPr>
      </w:pPr>
      <w:r w:rsidRPr="00502820">
        <w:rPr>
          <w:rFonts w:eastAsia="Calibri"/>
        </w:rPr>
        <w:t>T</w:t>
      </w:r>
      <w:r w:rsidR="005D5C50" w:rsidRPr="00502820">
        <w:rPr>
          <w:rFonts w:eastAsia="Calibri"/>
        </w:rPr>
        <w:t>he project evaluation repo</w:t>
      </w:r>
      <w:r>
        <w:rPr>
          <w:rFonts w:eastAsia="Calibri"/>
        </w:rPr>
        <w:t>rt is shown in Appendix 2</w:t>
      </w:r>
      <w:r w:rsidR="008D720C">
        <w:rPr>
          <w:rFonts w:eastAsia="Calibri"/>
        </w:rPr>
        <w:t xml:space="preserve">. The key highlights are that </w:t>
      </w:r>
      <w:r w:rsidR="00982AEE">
        <w:rPr>
          <w:rFonts w:eastAsia="Calibri"/>
        </w:rPr>
        <w:t xml:space="preserve">a steady supply of affordable homes in the city has been maintained as </w:t>
      </w:r>
      <w:r w:rsidR="006F3198">
        <w:rPr>
          <w:rFonts w:eastAsia="Calibri"/>
        </w:rPr>
        <w:t>73</w:t>
      </w:r>
      <w:r w:rsidR="008D720C">
        <w:rPr>
          <w:rFonts w:eastAsia="Calibri"/>
        </w:rPr>
        <w:t xml:space="preserve"> families avoided homelessness and are beginning to strengthen their financial capability. The main lesson</w:t>
      </w:r>
      <w:r w:rsidR="003B7983">
        <w:rPr>
          <w:rFonts w:eastAsia="Calibri"/>
        </w:rPr>
        <w:t xml:space="preserve"> learnt was</w:t>
      </w:r>
      <w:r w:rsidR="008D720C">
        <w:rPr>
          <w:rFonts w:eastAsia="Calibri"/>
        </w:rPr>
        <w:t xml:space="preserve"> </w:t>
      </w:r>
      <w:r w:rsidR="00982AEE">
        <w:rPr>
          <w:rFonts w:eastAsia="Calibri"/>
        </w:rPr>
        <w:t>to ensure</w:t>
      </w:r>
      <w:r w:rsidR="008D720C">
        <w:rPr>
          <w:rFonts w:eastAsia="Calibri"/>
        </w:rPr>
        <w:t xml:space="preserve"> </w:t>
      </w:r>
      <w:r w:rsidR="003B7983">
        <w:rPr>
          <w:rFonts w:eastAsia="Calibri"/>
        </w:rPr>
        <w:t xml:space="preserve">adequate </w:t>
      </w:r>
      <w:r w:rsidR="001C7192">
        <w:rPr>
          <w:rFonts w:eastAsia="Calibri"/>
        </w:rPr>
        <w:t xml:space="preserve">officer </w:t>
      </w:r>
      <w:r w:rsidR="003B7983">
        <w:rPr>
          <w:rFonts w:eastAsia="Calibri"/>
        </w:rPr>
        <w:t xml:space="preserve">cover if key staff were absent </w:t>
      </w:r>
      <w:r w:rsidR="00982AEE">
        <w:rPr>
          <w:rFonts w:eastAsia="Calibri"/>
        </w:rPr>
        <w:t>when scaling up. Another lesson is to</w:t>
      </w:r>
      <w:r w:rsidR="00611615">
        <w:rPr>
          <w:rFonts w:eastAsia="Calibri"/>
        </w:rPr>
        <w:t xml:space="preserve"> track and</w:t>
      </w:r>
      <w:r w:rsidR="00982AEE">
        <w:rPr>
          <w:rFonts w:eastAsia="Calibri"/>
        </w:rPr>
        <w:t xml:space="preserve"> target coaching capacity to </w:t>
      </w:r>
      <w:r w:rsidR="00611615">
        <w:rPr>
          <w:rFonts w:eastAsia="Calibri"/>
        </w:rPr>
        <w:t>achieve quicker</w:t>
      </w:r>
      <w:r w:rsidR="00982AEE">
        <w:rPr>
          <w:rFonts w:eastAsia="Calibri"/>
        </w:rPr>
        <w:t xml:space="preserve"> customer behavioural changes.</w:t>
      </w:r>
    </w:p>
    <w:p w:rsidR="00FE0570" w:rsidRDefault="00FE0570" w:rsidP="00FB7D2C">
      <w:pPr>
        <w:pStyle w:val="ListParagraph"/>
        <w:spacing w:after="0"/>
        <w:ind w:left="502" w:hanging="360"/>
        <w:rPr>
          <w:rFonts w:cs="Arial"/>
          <w:color w:val="auto"/>
          <w:lang w:eastAsia="en-US"/>
        </w:rPr>
      </w:pPr>
      <w:r w:rsidRPr="00FE0570">
        <w:rPr>
          <w:rFonts w:cs="Arial"/>
          <w:color w:val="auto"/>
          <w:lang w:eastAsia="en-US"/>
        </w:rPr>
        <w:t>Traditionally Home Choice officer</w:t>
      </w:r>
      <w:r w:rsidR="00FB7D2C">
        <w:rPr>
          <w:rFonts w:cs="Arial"/>
          <w:color w:val="auto"/>
          <w:lang w:eastAsia="en-US"/>
        </w:rPr>
        <w:t>s support tenancies not tenants.</w:t>
      </w:r>
      <w:r w:rsidRPr="00FE0570">
        <w:rPr>
          <w:rFonts w:cs="Arial"/>
          <w:color w:val="auto"/>
          <w:lang w:eastAsia="en-US"/>
        </w:rPr>
        <w:t xml:space="preserve"> </w:t>
      </w:r>
      <w:r w:rsidR="00FB7D2C">
        <w:rPr>
          <w:rFonts w:cs="Arial"/>
          <w:color w:val="auto"/>
          <w:lang w:eastAsia="en-US"/>
        </w:rPr>
        <w:t>S</w:t>
      </w:r>
      <w:r w:rsidRPr="00FE0570">
        <w:rPr>
          <w:rFonts w:cs="Arial"/>
          <w:color w:val="auto"/>
          <w:lang w:eastAsia="en-US"/>
        </w:rPr>
        <w:t>ervices have be</w:t>
      </w:r>
      <w:r w:rsidR="00FB7D2C">
        <w:rPr>
          <w:rFonts w:cs="Arial"/>
          <w:color w:val="auto"/>
          <w:lang w:eastAsia="en-US"/>
        </w:rPr>
        <w:t>en</w:t>
      </w:r>
      <w:r w:rsidRPr="00FE0570">
        <w:rPr>
          <w:rFonts w:cs="Arial"/>
          <w:color w:val="auto"/>
          <w:lang w:eastAsia="en-US"/>
        </w:rPr>
        <w:t xml:space="preserve"> put in place to benefit the landlord as much as the tenant and to ensure that a tenancy becomes self</w:t>
      </w:r>
      <w:r w:rsidR="003B7983">
        <w:rPr>
          <w:rFonts w:cs="Arial"/>
          <w:color w:val="auto"/>
          <w:lang w:eastAsia="en-US"/>
        </w:rPr>
        <w:t>-</w:t>
      </w:r>
      <w:r w:rsidRPr="00FE0570">
        <w:rPr>
          <w:rFonts w:cs="Arial"/>
          <w:color w:val="auto"/>
          <w:lang w:eastAsia="en-US"/>
        </w:rPr>
        <w:t>sustaining in the long term.</w:t>
      </w:r>
      <w:r w:rsidR="00FB7D2C">
        <w:rPr>
          <w:rFonts w:cs="Arial"/>
          <w:color w:val="auto"/>
          <w:lang w:eastAsia="en-US"/>
        </w:rPr>
        <w:t xml:space="preserve"> U</w:t>
      </w:r>
      <w:r w:rsidRPr="00FB7D2C">
        <w:rPr>
          <w:rFonts w:cs="Arial"/>
          <w:color w:val="auto"/>
          <w:lang w:eastAsia="en-US"/>
        </w:rPr>
        <w:t xml:space="preserve">nder ORG the coach is focused on coaching the tenant to achieve financial independence and generally </w:t>
      </w:r>
      <w:r w:rsidR="00FB7D2C">
        <w:rPr>
          <w:rFonts w:cs="Arial"/>
          <w:color w:val="auto"/>
          <w:lang w:eastAsia="en-US"/>
        </w:rPr>
        <w:t xml:space="preserve">a </w:t>
      </w:r>
      <w:r w:rsidRPr="00FB7D2C">
        <w:rPr>
          <w:rFonts w:cs="Arial"/>
          <w:color w:val="auto"/>
          <w:lang w:eastAsia="en-US"/>
        </w:rPr>
        <w:t>better quality of life that enhances the tenancy experience.</w:t>
      </w:r>
    </w:p>
    <w:p w:rsidR="00FB7D2C" w:rsidRDefault="00FB7D2C" w:rsidP="00FB7D2C">
      <w:pPr>
        <w:pStyle w:val="ListParagraph"/>
        <w:numPr>
          <w:ilvl w:val="0"/>
          <w:numId w:val="0"/>
        </w:numPr>
        <w:spacing w:after="0"/>
        <w:ind w:left="502"/>
        <w:rPr>
          <w:rFonts w:cs="Arial"/>
          <w:color w:val="auto"/>
          <w:lang w:eastAsia="en-US"/>
        </w:rPr>
      </w:pPr>
    </w:p>
    <w:p w:rsidR="00FE0570" w:rsidRPr="00FB7D2C" w:rsidRDefault="00FB7D2C" w:rsidP="00FB7D2C">
      <w:pPr>
        <w:pStyle w:val="ListParagraph"/>
        <w:spacing w:after="0"/>
        <w:rPr>
          <w:rFonts w:cs="Arial"/>
          <w:color w:val="auto"/>
          <w:lang w:eastAsia="en-US"/>
        </w:rPr>
      </w:pPr>
      <w:r w:rsidRPr="00FB7D2C">
        <w:rPr>
          <w:rFonts w:cs="Arial"/>
          <w:color w:val="auto"/>
          <w:lang w:eastAsia="en-US"/>
        </w:rPr>
        <w:lastRenderedPageBreak/>
        <w:t xml:space="preserve">The housing coach supports the tenant </w:t>
      </w:r>
      <w:r w:rsidR="00FE0570" w:rsidRPr="00FB7D2C">
        <w:rPr>
          <w:rFonts w:cs="Arial"/>
          <w:color w:val="auto"/>
          <w:lang w:eastAsia="en-US"/>
        </w:rPr>
        <w:t>with U</w:t>
      </w:r>
      <w:r w:rsidRPr="00FB7D2C">
        <w:rPr>
          <w:rFonts w:cs="Arial"/>
          <w:color w:val="auto"/>
          <w:lang w:eastAsia="en-US"/>
        </w:rPr>
        <w:t xml:space="preserve">niversal </w:t>
      </w:r>
      <w:r w:rsidR="00FE0570" w:rsidRPr="00FB7D2C">
        <w:rPr>
          <w:rFonts w:cs="Arial"/>
          <w:color w:val="auto"/>
          <w:lang w:eastAsia="en-US"/>
        </w:rPr>
        <w:t>C</w:t>
      </w:r>
      <w:r w:rsidRPr="00FB7D2C">
        <w:rPr>
          <w:rFonts w:cs="Arial"/>
          <w:color w:val="auto"/>
          <w:lang w:eastAsia="en-US"/>
        </w:rPr>
        <w:t>redit</w:t>
      </w:r>
      <w:r w:rsidR="00FE0570" w:rsidRPr="00FB7D2C">
        <w:rPr>
          <w:rFonts w:cs="Arial"/>
          <w:color w:val="auto"/>
          <w:lang w:eastAsia="en-US"/>
        </w:rPr>
        <w:t xml:space="preserve"> claims budgeting</w:t>
      </w:r>
      <w:r w:rsidR="003B7983" w:rsidRPr="00FB7D2C">
        <w:rPr>
          <w:rFonts w:cs="Arial"/>
          <w:color w:val="auto"/>
          <w:lang w:eastAsia="en-US"/>
        </w:rPr>
        <w:t>,</w:t>
      </w:r>
      <w:r w:rsidR="00FE0570" w:rsidRPr="00FB7D2C">
        <w:rPr>
          <w:rFonts w:cs="Arial"/>
          <w:color w:val="auto"/>
          <w:lang w:eastAsia="en-US"/>
        </w:rPr>
        <w:t xml:space="preserve"> befriending</w:t>
      </w:r>
      <w:r w:rsidR="003B7983" w:rsidRPr="00FB7D2C">
        <w:rPr>
          <w:rFonts w:cs="Arial"/>
          <w:color w:val="auto"/>
          <w:lang w:eastAsia="en-US"/>
        </w:rPr>
        <w:t>,</w:t>
      </w:r>
      <w:r w:rsidR="00FE0570" w:rsidRPr="00FB7D2C">
        <w:rPr>
          <w:rFonts w:cs="Arial"/>
          <w:color w:val="auto"/>
          <w:lang w:eastAsia="en-US"/>
        </w:rPr>
        <w:t xml:space="preserve"> advocacy</w:t>
      </w:r>
      <w:r w:rsidR="003B7983" w:rsidRPr="00FB7D2C">
        <w:rPr>
          <w:rFonts w:cs="Arial"/>
          <w:color w:val="auto"/>
          <w:lang w:eastAsia="en-US"/>
        </w:rPr>
        <w:t>,</w:t>
      </w:r>
      <w:r w:rsidR="00FE0570" w:rsidRPr="00FB7D2C">
        <w:rPr>
          <w:rFonts w:cs="Arial"/>
          <w:color w:val="auto"/>
          <w:lang w:eastAsia="en-US"/>
        </w:rPr>
        <w:t xml:space="preserve"> </w:t>
      </w:r>
      <w:proofErr w:type="gramStart"/>
      <w:r w:rsidR="003D0CEF" w:rsidRPr="00FB7D2C">
        <w:rPr>
          <w:rFonts w:cs="Arial"/>
          <w:color w:val="auto"/>
          <w:lang w:eastAsia="en-US"/>
        </w:rPr>
        <w:t>signposting</w:t>
      </w:r>
      <w:proofErr w:type="gramEnd"/>
      <w:r w:rsidR="00FE0570" w:rsidRPr="00FB7D2C">
        <w:rPr>
          <w:rFonts w:cs="Arial"/>
          <w:color w:val="auto"/>
          <w:lang w:eastAsia="en-US"/>
        </w:rPr>
        <w:t xml:space="preserve"> and career development.</w:t>
      </w:r>
      <w:r w:rsidR="003B7983" w:rsidRPr="00FB7D2C">
        <w:rPr>
          <w:rFonts w:cs="Arial"/>
          <w:color w:val="auto"/>
          <w:lang w:eastAsia="en-US"/>
        </w:rPr>
        <w:t xml:space="preserve"> </w:t>
      </w:r>
      <w:r w:rsidR="00FE0570" w:rsidRPr="00FB7D2C">
        <w:rPr>
          <w:rFonts w:cs="Arial"/>
          <w:color w:val="auto"/>
          <w:lang w:eastAsia="en-US"/>
        </w:rPr>
        <w:t>The tools used are tailored to the needs of the tenant working in partnership to achieve agreed plans.</w:t>
      </w:r>
      <w:r w:rsidRPr="00FB7D2C">
        <w:rPr>
          <w:rFonts w:cs="Arial"/>
          <w:color w:val="auto"/>
          <w:lang w:eastAsia="en-US"/>
        </w:rPr>
        <w:t xml:space="preserve"> </w:t>
      </w:r>
      <w:r w:rsidR="00FE0570" w:rsidRPr="00FB7D2C">
        <w:rPr>
          <w:rFonts w:cs="Arial"/>
          <w:color w:val="auto"/>
          <w:lang w:eastAsia="en-US"/>
        </w:rPr>
        <w:t>A case study is shown as Appendix 3</w:t>
      </w:r>
    </w:p>
    <w:p w:rsidR="0040736F" w:rsidRPr="001356F1" w:rsidRDefault="002329CF" w:rsidP="004A6D2F">
      <w:pPr>
        <w:pStyle w:val="Heading1"/>
      </w:pPr>
      <w:r w:rsidRPr="001356F1">
        <w:t>Financial implications</w:t>
      </w:r>
    </w:p>
    <w:p w:rsidR="00F47090" w:rsidRDefault="00954759" w:rsidP="00F47090">
      <w:pPr>
        <w:pStyle w:val="ListParagraph"/>
      </w:pPr>
      <w:r>
        <w:t xml:space="preserve">If </w:t>
      </w:r>
      <w:r w:rsidR="006F3198">
        <w:t>CEB agrees</w:t>
      </w:r>
      <w:r>
        <w:t xml:space="preserve"> to continue with t</w:t>
      </w:r>
      <w:r w:rsidR="00A020EB">
        <w:t>he scheme</w:t>
      </w:r>
      <w:r w:rsidR="006F3198">
        <w:t>,</w:t>
      </w:r>
      <w:r w:rsidR="00A020EB">
        <w:t xml:space="preserve"> </w:t>
      </w:r>
      <w:r w:rsidR="00C908D5">
        <w:t xml:space="preserve">funding for the continuation of this initiative has been identified in the </w:t>
      </w:r>
      <w:r w:rsidR="006F53A4">
        <w:t xml:space="preserve">Housing Needs Budget </w:t>
      </w:r>
      <w:r w:rsidR="006B5602">
        <w:t>paper from</w:t>
      </w:r>
      <w:r w:rsidR="00C908D5">
        <w:t xml:space="preserve"> the Government flexible homelessness support grant (unspent</w:t>
      </w:r>
      <w:r w:rsidR="004D6ACD">
        <w:t xml:space="preserve"> </w:t>
      </w:r>
      <w:r w:rsidR="00C908D5">
        <w:t xml:space="preserve">sums held in reserves). The cost of two housing coaches, a part time income officer and </w:t>
      </w:r>
      <w:r w:rsidR="006F53A4">
        <w:t xml:space="preserve">a </w:t>
      </w:r>
      <w:r w:rsidR="00C908D5">
        <w:t xml:space="preserve">bad debt </w:t>
      </w:r>
      <w:r w:rsidR="006F53A4">
        <w:t xml:space="preserve">top up resource </w:t>
      </w:r>
      <w:r w:rsidR="00C908D5">
        <w:t xml:space="preserve">would be </w:t>
      </w:r>
      <w:r w:rsidR="0085427A">
        <w:t>£</w:t>
      </w:r>
      <w:r w:rsidR="00C908D5">
        <w:t xml:space="preserve">150k in 2019/20 rising to </w:t>
      </w:r>
      <w:r w:rsidR="0085427A">
        <w:t>£</w:t>
      </w:r>
      <w:r w:rsidR="00C908D5">
        <w:t xml:space="preserve">200k </w:t>
      </w:r>
      <w:r w:rsidR="006B5602">
        <w:t>from</w:t>
      </w:r>
      <w:r w:rsidR="00C908D5">
        <w:t xml:space="preserve"> 20</w:t>
      </w:r>
      <w:r w:rsidR="006F53A4">
        <w:t>20</w:t>
      </w:r>
      <w:r w:rsidR="00C908D5">
        <w:t xml:space="preserve">/21 to help up to 120 </w:t>
      </w:r>
      <w:r w:rsidR="006B5602">
        <w:t>families. The Housing Needs budget paper proposes funding the scheme on this basis until 2022/23.</w:t>
      </w:r>
    </w:p>
    <w:p w:rsidR="004331A6" w:rsidRDefault="004331A6" w:rsidP="004331A6">
      <w:pPr>
        <w:pStyle w:val="ListParagraph"/>
        <w:ind w:left="502" w:hanging="360"/>
      </w:pPr>
      <w:r>
        <w:t>The level of arrears</w:t>
      </w:r>
      <w:r w:rsidRPr="004331A6">
        <w:t xml:space="preserve"> is</w:t>
      </w:r>
      <w:r>
        <w:t xml:space="preserve"> currently</w:t>
      </w:r>
      <w:r w:rsidRPr="004331A6">
        <w:t xml:space="preserve"> higher than the 5% </w:t>
      </w:r>
      <w:r>
        <w:t>target.</w:t>
      </w:r>
      <w:r w:rsidRPr="004331A6">
        <w:t xml:space="preserve"> </w:t>
      </w:r>
      <w:r>
        <w:t>I</w:t>
      </w:r>
      <w:r w:rsidRPr="004331A6">
        <w:t xml:space="preserve">t is currently 10% </w:t>
      </w:r>
      <w:r>
        <w:t>but</w:t>
      </w:r>
      <w:r w:rsidRPr="004331A6">
        <w:t xml:space="preserve"> has reduced from its peak of 13%. The higher level of arrears has been caused by the absence of an Income officer for three months last year, and a similar absence period for a housing coach. The impact of Universal Credit</w:t>
      </w:r>
      <w:r>
        <w:t xml:space="preserve"> </w:t>
      </w:r>
      <w:r w:rsidRPr="004331A6">
        <w:t xml:space="preserve">(UC) has been greater than anticipated with 35% of tenants </w:t>
      </w:r>
      <w:r>
        <w:t>in the pilot moving to U</w:t>
      </w:r>
      <w:r w:rsidRPr="004331A6">
        <w:t>C</w:t>
      </w:r>
      <w:r>
        <w:t>, with</w:t>
      </w:r>
      <w:r w:rsidRPr="004331A6">
        <w:t xml:space="preserve"> nearly all of them experiencing delays in payment of housing costs. An additional day of Income Officer </w:t>
      </w:r>
      <w:proofErr w:type="gramStart"/>
      <w:r w:rsidRPr="004331A6">
        <w:t>time</w:t>
      </w:r>
      <w:proofErr w:type="gramEnd"/>
      <w:r w:rsidRPr="004331A6">
        <w:t xml:space="preserve"> has b</w:t>
      </w:r>
      <w:r>
        <w:t>een allocated from January 2019, which wi</w:t>
      </w:r>
      <w:r w:rsidR="007F034D">
        <w:t>ll ensure the collection target</w:t>
      </w:r>
      <w:r w:rsidRPr="004331A6">
        <w:t xml:space="preserve"> </w:t>
      </w:r>
      <w:r>
        <w:t>is achieved within the next six month</w:t>
      </w:r>
      <w:r w:rsidR="007F034D">
        <w:t>s</w:t>
      </w:r>
      <w:r w:rsidRPr="004331A6">
        <w:t>.</w:t>
      </w:r>
    </w:p>
    <w:p w:rsidR="0040736F" w:rsidRPr="001356F1" w:rsidRDefault="00DA614B" w:rsidP="004A6D2F">
      <w:pPr>
        <w:pStyle w:val="Heading1"/>
      </w:pPr>
      <w:r w:rsidRPr="001356F1">
        <w:t>Legal issues</w:t>
      </w:r>
    </w:p>
    <w:p w:rsidR="002329CF" w:rsidRPr="00005F22" w:rsidRDefault="00090CC9" w:rsidP="00005F22">
      <w:pPr>
        <w:pStyle w:val="ListParagraph"/>
        <w:ind w:left="502" w:hanging="360"/>
      </w:pPr>
      <w:r w:rsidRPr="00005F22">
        <w:t xml:space="preserve">The proposed continuation of the ORG scheme should not create any </w:t>
      </w:r>
      <w:r w:rsidR="003B7983" w:rsidRPr="00005F22">
        <w:t>significant</w:t>
      </w:r>
      <w:r w:rsidR="00005F22" w:rsidRPr="00005F22">
        <w:t xml:space="preserve"> </w:t>
      </w:r>
      <w:r w:rsidR="003B7983" w:rsidRPr="00005F22">
        <w:t xml:space="preserve"> </w:t>
      </w:r>
      <w:r w:rsidR="00005F22" w:rsidRPr="00005F22">
        <w:t>a</w:t>
      </w:r>
      <w:r w:rsidRPr="00005F22">
        <w:t>dditional legal risks</w:t>
      </w:r>
      <w:r w:rsidR="003B7983" w:rsidRPr="00005F22">
        <w:t xml:space="preserve"> however under the Ho</w:t>
      </w:r>
      <w:r w:rsidR="003D0CEF" w:rsidRPr="00005F22">
        <w:t xml:space="preserve">meless Reduction Act </w:t>
      </w:r>
      <w:r w:rsidR="00026759">
        <w:t xml:space="preserve">2017 </w:t>
      </w:r>
      <w:r w:rsidR="003D0CEF" w:rsidRPr="00005F22">
        <w:t>the impact of incremental withdrawal of rental top ups for non-co-operation or “excess income” as the main reason leading to an eviction has yet to be tested in higher courts.</w:t>
      </w:r>
      <w:r w:rsidR="002F402D">
        <w:t xml:space="preserve"> This presents a </w:t>
      </w:r>
      <w:r w:rsidR="002771D5">
        <w:t xml:space="preserve">potential </w:t>
      </w:r>
      <w:r w:rsidR="002F402D">
        <w:t xml:space="preserve">risk that where the Council evicts a tenant from the Rent Guarantee Scheme, there may be an ongoing duty to provide accommodation, and </w:t>
      </w:r>
      <w:r w:rsidR="002771D5">
        <w:t>may</w:t>
      </w:r>
      <w:r w:rsidR="002F402D">
        <w:t xml:space="preserve"> expose the Council to further legal challenges from tenants in the scheme. These challenges may be in relation to the eviction process, or </w:t>
      </w:r>
      <w:r w:rsidR="002771D5">
        <w:t>a</w:t>
      </w:r>
      <w:r w:rsidR="002F402D">
        <w:t xml:space="preserve"> decision to refuse support on the grounds that the tenant has made </w:t>
      </w:r>
      <w:proofErr w:type="gramStart"/>
      <w:r w:rsidR="002F402D">
        <w:t>themselves</w:t>
      </w:r>
      <w:proofErr w:type="gramEnd"/>
      <w:r w:rsidR="002F402D">
        <w:t xml:space="preserve"> intentionally homeless. This however is the same risk that is present in </w:t>
      </w:r>
      <w:r w:rsidR="002771D5">
        <w:t>the Council’s</w:t>
      </w:r>
      <w:r w:rsidR="002F402D">
        <w:t xml:space="preserve"> existing Home Choice scheme. </w:t>
      </w:r>
    </w:p>
    <w:p w:rsidR="00BC69A4" w:rsidRPr="001356F1" w:rsidRDefault="001C111D" w:rsidP="00005F22">
      <w:pPr>
        <w:pStyle w:val="ListParagraph"/>
        <w:ind w:left="502" w:hanging="360"/>
      </w:pPr>
      <w:r>
        <w:t>A</w:t>
      </w:r>
      <w:r w:rsidR="0093067A" w:rsidRPr="001356F1">
        <w:t xml:space="preserve"> </w:t>
      </w:r>
      <w:r w:rsidR="00151888" w:rsidRPr="001356F1">
        <w:t>R</w:t>
      </w:r>
      <w:r w:rsidR="002329CF" w:rsidRPr="001356F1">
        <w:t xml:space="preserve">isk </w:t>
      </w:r>
      <w:r w:rsidR="00151888" w:rsidRPr="001356F1">
        <w:t>R</w:t>
      </w:r>
      <w:r w:rsidR="0093067A" w:rsidRPr="001356F1">
        <w:t>egister</w:t>
      </w:r>
      <w:r w:rsidR="00005F22">
        <w:t xml:space="preserve"> can be found at </w:t>
      </w:r>
      <w:r w:rsidR="003D1074">
        <w:t>A</w:t>
      </w:r>
      <w:r w:rsidR="00954759">
        <w:t xml:space="preserve">ppendix </w:t>
      </w:r>
      <w:r>
        <w:t>1</w:t>
      </w:r>
      <w:r w:rsidRPr="001356F1">
        <w:t xml:space="preserve"> </w:t>
      </w:r>
      <w:r>
        <w:t>and</w:t>
      </w:r>
      <w:r w:rsidR="00BC7EEE">
        <w:t xml:space="preserve"> shows overall risk at a manageable rating</w:t>
      </w:r>
      <w:r w:rsidR="00005F22">
        <w:t>.</w:t>
      </w:r>
    </w:p>
    <w:p w:rsidR="002329CF" w:rsidRPr="001356F1" w:rsidRDefault="002329CF" w:rsidP="0050321C">
      <w:pPr>
        <w:pStyle w:val="Heading1"/>
      </w:pPr>
      <w:r w:rsidRPr="001356F1">
        <w:t xml:space="preserve">Equalities impact </w:t>
      </w:r>
    </w:p>
    <w:p w:rsidR="002329CF" w:rsidRPr="001356F1" w:rsidRDefault="001C111D" w:rsidP="004A6D2F">
      <w:pPr>
        <w:pStyle w:val="ListParagraph"/>
        <w:ind w:left="502" w:hanging="360"/>
      </w:pPr>
      <w:r>
        <w:t>No</w:t>
      </w:r>
      <w:r w:rsidR="00954759">
        <w:t xml:space="preserve"> known new impacts for customers both landlords and prospective tenants at risk of homelessness</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529DF" w:rsidP="00A46E98">
            <w:r>
              <w:t>David Rundle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5529DF" w:rsidP="00A46E98">
            <w:r>
              <w:t>Private Rented Team Leader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529DF" w:rsidP="00A46E98">
            <w:r>
              <w:t>Housing Needs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5529DF" w:rsidP="00A46E98">
            <w:r>
              <w:t xml:space="preserve">01865 </w:t>
            </w:r>
            <w:r w:rsidR="00017B51">
              <w:t>252398</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017B51" w:rsidP="00A46E98">
            <w:pPr>
              <w:rPr>
                <w:rStyle w:val="Hyperlink"/>
                <w:color w:val="000000"/>
              </w:rPr>
            </w:pPr>
            <w:r>
              <w:rPr>
                <w:rStyle w:val="Hyperlink"/>
                <w:color w:val="000000"/>
              </w:rPr>
              <w:t>drundle@oxford.gov.uk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lastRenderedPageBreak/>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BEFF4" w15:done="0"/>
  <w15:commentEx w15:paraId="596F505A" w15:done="0"/>
  <w15:commentEx w15:paraId="6811F2E3" w15:done="0"/>
  <w15:commentEx w15:paraId="058DD78D" w15:paraIdParent="6811F2E3" w15:done="0"/>
  <w15:commentEx w15:paraId="0D7162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E06" w:rsidRDefault="00991E06" w:rsidP="004A6D2F">
      <w:r>
        <w:separator/>
      </w:r>
    </w:p>
  </w:endnote>
  <w:endnote w:type="continuationSeparator" w:id="0">
    <w:p w:rsidR="00991E06" w:rsidRDefault="00991E0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E06" w:rsidRDefault="00991E06" w:rsidP="004A6D2F">
      <w:r>
        <w:separator/>
      </w:r>
    </w:p>
  </w:footnote>
  <w:footnote w:type="continuationSeparator" w:id="0">
    <w:p w:rsidR="00991E06" w:rsidRDefault="00991E0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C52489" w:rsidP="00D5547E">
    <w:pPr>
      <w:pStyle w:val="Header"/>
      <w:jc w:val="right"/>
    </w:pPr>
    <w:r>
      <w:rPr>
        <w:noProof/>
      </w:rPr>
      <w:drawing>
        <wp:inline distT="0" distB="0" distL="0" distR="0" wp14:anchorId="2A5A5961" wp14:editId="6C57D586">
          <wp:extent cx="847725" cy="1114425"/>
          <wp:effectExtent l="0" t="0" r="9525"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lvlOverride w:ilvl="0">
      <w:lvl w:ilvl="0">
        <w:start w:val="1"/>
        <w:numFmt w:val="decimal"/>
        <w:pStyle w:val="ListParagraph"/>
        <w:lvlText w:val="%1."/>
        <w:lvlJc w:val="left"/>
        <w:pPr>
          <w:ind w:left="502" w:hanging="360"/>
        </w:pPr>
        <w:rPr>
          <w:rFonts w:ascii="Arial" w:hAnsi="Arial"/>
          <w:b w:val="0"/>
          <w:color w:val="000000"/>
          <w:sz w:val="24"/>
        </w:rPr>
      </w:lvl>
    </w:lvlOverride>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4C"/>
    <w:rsid w:val="00000F9F"/>
    <w:rsid w:val="00005F22"/>
    <w:rsid w:val="000117D4"/>
    <w:rsid w:val="0001655C"/>
    <w:rsid w:val="00017B51"/>
    <w:rsid w:val="00026759"/>
    <w:rsid w:val="000314D7"/>
    <w:rsid w:val="00045F8B"/>
    <w:rsid w:val="00046CD1"/>
    <w:rsid w:val="00046D2B"/>
    <w:rsid w:val="00056263"/>
    <w:rsid w:val="00064AA4"/>
    <w:rsid w:val="00064D8A"/>
    <w:rsid w:val="00064F82"/>
    <w:rsid w:val="00066510"/>
    <w:rsid w:val="00077523"/>
    <w:rsid w:val="0007791A"/>
    <w:rsid w:val="000853AC"/>
    <w:rsid w:val="00090CC9"/>
    <w:rsid w:val="000C089F"/>
    <w:rsid w:val="000C3928"/>
    <w:rsid w:val="000C3E48"/>
    <w:rsid w:val="000C5E8E"/>
    <w:rsid w:val="000D7D29"/>
    <w:rsid w:val="000F1ADC"/>
    <w:rsid w:val="000F4751"/>
    <w:rsid w:val="0010524C"/>
    <w:rsid w:val="00111FB1"/>
    <w:rsid w:val="00113418"/>
    <w:rsid w:val="001356F1"/>
    <w:rsid w:val="00136994"/>
    <w:rsid w:val="0014128E"/>
    <w:rsid w:val="00144213"/>
    <w:rsid w:val="001461FC"/>
    <w:rsid w:val="00151888"/>
    <w:rsid w:val="00170A2D"/>
    <w:rsid w:val="0018064D"/>
    <w:rsid w:val="001808BC"/>
    <w:rsid w:val="00182B81"/>
    <w:rsid w:val="0018619D"/>
    <w:rsid w:val="00187B1B"/>
    <w:rsid w:val="001A011E"/>
    <w:rsid w:val="001A066A"/>
    <w:rsid w:val="001A13E6"/>
    <w:rsid w:val="001A5731"/>
    <w:rsid w:val="001B42C3"/>
    <w:rsid w:val="001B495F"/>
    <w:rsid w:val="001C111D"/>
    <w:rsid w:val="001C5D5E"/>
    <w:rsid w:val="001C7192"/>
    <w:rsid w:val="001D678D"/>
    <w:rsid w:val="001D68B6"/>
    <w:rsid w:val="001E03F8"/>
    <w:rsid w:val="001E1678"/>
    <w:rsid w:val="001E3376"/>
    <w:rsid w:val="001F4467"/>
    <w:rsid w:val="002069B3"/>
    <w:rsid w:val="002104B6"/>
    <w:rsid w:val="00211D79"/>
    <w:rsid w:val="00231881"/>
    <w:rsid w:val="002328FD"/>
    <w:rsid w:val="002329CF"/>
    <w:rsid w:val="00232F5B"/>
    <w:rsid w:val="002366E3"/>
    <w:rsid w:val="00245A04"/>
    <w:rsid w:val="00247C29"/>
    <w:rsid w:val="00260467"/>
    <w:rsid w:val="00263EA3"/>
    <w:rsid w:val="002771D5"/>
    <w:rsid w:val="00280A81"/>
    <w:rsid w:val="00284F85"/>
    <w:rsid w:val="00290915"/>
    <w:rsid w:val="00296893"/>
    <w:rsid w:val="002A22E2"/>
    <w:rsid w:val="002B36A1"/>
    <w:rsid w:val="002C64F7"/>
    <w:rsid w:val="002D5169"/>
    <w:rsid w:val="002F402D"/>
    <w:rsid w:val="002F41F2"/>
    <w:rsid w:val="00301BF3"/>
    <w:rsid w:val="0030208D"/>
    <w:rsid w:val="00323418"/>
    <w:rsid w:val="003274DB"/>
    <w:rsid w:val="003357BF"/>
    <w:rsid w:val="003360AB"/>
    <w:rsid w:val="00364FAD"/>
    <w:rsid w:val="0036738F"/>
    <w:rsid w:val="0036759C"/>
    <w:rsid w:val="00367AE5"/>
    <w:rsid w:val="00367D71"/>
    <w:rsid w:val="003725EF"/>
    <w:rsid w:val="0038150A"/>
    <w:rsid w:val="003B6E75"/>
    <w:rsid w:val="003B7983"/>
    <w:rsid w:val="003B7DA1"/>
    <w:rsid w:val="003D0379"/>
    <w:rsid w:val="003D0CEF"/>
    <w:rsid w:val="003D1074"/>
    <w:rsid w:val="003D2574"/>
    <w:rsid w:val="003D4C59"/>
    <w:rsid w:val="003E2B4F"/>
    <w:rsid w:val="003F054D"/>
    <w:rsid w:val="003F4267"/>
    <w:rsid w:val="00404032"/>
    <w:rsid w:val="004071E1"/>
    <w:rsid w:val="0040736F"/>
    <w:rsid w:val="00412C1F"/>
    <w:rsid w:val="00421CB2"/>
    <w:rsid w:val="00422E9E"/>
    <w:rsid w:val="004268B9"/>
    <w:rsid w:val="004331A6"/>
    <w:rsid w:val="00433B96"/>
    <w:rsid w:val="004440F1"/>
    <w:rsid w:val="004456DD"/>
    <w:rsid w:val="00446CDF"/>
    <w:rsid w:val="004521B7"/>
    <w:rsid w:val="00462AB5"/>
    <w:rsid w:val="00465EAF"/>
    <w:rsid w:val="004738C5"/>
    <w:rsid w:val="0048050F"/>
    <w:rsid w:val="00484FE0"/>
    <w:rsid w:val="00491046"/>
    <w:rsid w:val="00497161"/>
    <w:rsid w:val="004A0C10"/>
    <w:rsid w:val="004A1DD5"/>
    <w:rsid w:val="004A2AC7"/>
    <w:rsid w:val="004A6D2F"/>
    <w:rsid w:val="004A7DB9"/>
    <w:rsid w:val="004B16C3"/>
    <w:rsid w:val="004C2887"/>
    <w:rsid w:val="004C7F01"/>
    <w:rsid w:val="004D1DA2"/>
    <w:rsid w:val="004D2626"/>
    <w:rsid w:val="004D6ACD"/>
    <w:rsid w:val="004D6E26"/>
    <w:rsid w:val="004D77D3"/>
    <w:rsid w:val="004E2959"/>
    <w:rsid w:val="004E6D19"/>
    <w:rsid w:val="004F20EF"/>
    <w:rsid w:val="00500B60"/>
    <w:rsid w:val="00502021"/>
    <w:rsid w:val="00502820"/>
    <w:rsid w:val="0050321C"/>
    <w:rsid w:val="0050684C"/>
    <w:rsid w:val="00541663"/>
    <w:rsid w:val="0054712D"/>
    <w:rsid w:val="00547EF6"/>
    <w:rsid w:val="005529DF"/>
    <w:rsid w:val="005570B5"/>
    <w:rsid w:val="005663F0"/>
    <w:rsid w:val="00567E18"/>
    <w:rsid w:val="0057176A"/>
    <w:rsid w:val="00575F5F"/>
    <w:rsid w:val="00581805"/>
    <w:rsid w:val="00584510"/>
    <w:rsid w:val="00585F76"/>
    <w:rsid w:val="005A34E4"/>
    <w:rsid w:val="005B17F2"/>
    <w:rsid w:val="005B7FB0"/>
    <w:rsid w:val="005C35A5"/>
    <w:rsid w:val="005C577C"/>
    <w:rsid w:val="005D0621"/>
    <w:rsid w:val="005D1E27"/>
    <w:rsid w:val="005D2A3E"/>
    <w:rsid w:val="005D5C50"/>
    <w:rsid w:val="005D5F12"/>
    <w:rsid w:val="005E022E"/>
    <w:rsid w:val="005E5215"/>
    <w:rsid w:val="005E66CE"/>
    <w:rsid w:val="005F7F7E"/>
    <w:rsid w:val="00611615"/>
    <w:rsid w:val="00614693"/>
    <w:rsid w:val="00623C2F"/>
    <w:rsid w:val="00625D37"/>
    <w:rsid w:val="00627959"/>
    <w:rsid w:val="00631AAE"/>
    <w:rsid w:val="00633578"/>
    <w:rsid w:val="00636F7F"/>
    <w:rsid w:val="00637068"/>
    <w:rsid w:val="00650811"/>
    <w:rsid w:val="00661D3E"/>
    <w:rsid w:val="00674F6E"/>
    <w:rsid w:val="006822D4"/>
    <w:rsid w:val="00692627"/>
    <w:rsid w:val="006969E7"/>
    <w:rsid w:val="006A0894"/>
    <w:rsid w:val="006A3643"/>
    <w:rsid w:val="006A3FC6"/>
    <w:rsid w:val="006A6017"/>
    <w:rsid w:val="006A61D6"/>
    <w:rsid w:val="006B2AB6"/>
    <w:rsid w:val="006B5602"/>
    <w:rsid w:val="006C2A29"/>
    <w:rsid w:val="006C64CF"/>
    <w:rsid w:val="006D17B1"/>
    <w:rsid w:val="006D4752"/>
    <w:rsid w:val="006D708A"/>
    <w:rsid w:val="006E14C1"/>
    <w:rsid w:val="006E769D"/>
    <w:rsid w:val="006F0292"/>
    <w:rsid w:val="006F27FA"/>
    <w:rsid w:val="006F3198"/>
    <w:rsid w:val="006F416B"/>
    <w:rsid w:val="006F519B"/>
    <w:rsid w:val="006F53A4"/>
    <w:rsid w:val="00713675"/>
    <w:rsid w:val="00715823"/>
    <w:rsid w:val="00737B93"/>
    <w:rsid w:val="00744D9D"/>
    <w:rsid w:val="00745BF0"/>
    <w:rsid w:val="007615FE"/>
    <w:rsid w:val="00761CE5"/>
    <w:rsid w:val="0076655C"/>
    <w:rsid w:val="007742DC"/>
    <w:rsid w:val="00777B15"/>
    <w:rsid w:val="00791437"/>
    <w:rsid w:val="007B071D"/>
    <w:rsid w:val="007B0C2C"/>
    <w:rsid w:val="007B278E"/>
    <w:rsid w:val="007B515F"/>
    <w:rsid w:val="007C5C23"/>
    <w:rsid w:val="007E2A26"/>
    <w:rsid w:val="007F034D"/>
    <w:rsid w:val="007F2348"/>
    <w:rsid w:val="00803F07"/>
    <w:rsid w:val="0080749A"/>
    <w:rsid w:val="00821FB8"/>
    <w:rsid w:val="00822ACD"/>
    <w:rsid w:val="0083192D"/>
    <w:rsid w:val="00833BB3"/>
    <w:rsid w:val="008426E5"/>
    <w:rsid w:val="0084680A"/>
    <w:rsid w:val="0084740D"/>
    <w:rsid w:val="0085427A"/>
    <w:rsid w:val="00855C66"/>
    <w:rsid w:val="00860399"/>
    <w:rsid w:val="008705A4"/>
    <w:rsid w:val="00871EE4"/>
    <w:rsid w:val="0088524D"/>
    <w:rsid w:val="0089278F"/>
    <w:rsid w:val="008B02AD"/>
    <w:rsid w:val="008B293F"/>
    <w:rsid w:val="008B7371"/>
    <w:rsid w:val="008C0811"/>
    <w:rsid w:val="008D3DDB"/>
    <w:rsid w:val="008D720C"/>
    <w:rsid w:val="008F573F"/>
    <w:rsid w:val="008F7BE2"/>
    <w:rsid w:val="009034EC"/>
    <w:rsid w:val="0091533D"/>
    <w:rsid w:val="0093067A"/>
    <w:rsid w:val="009411E0"/>
    <w:rsid w:val="00941C60"/>
    <w:rsid w:val="00954759"/>
    <w:rsid w:val="00966D42"/>
    <w:rsid w:val="00971689"/>
    <w:rsid w:val="00973E90"/>
    <w:rsid w:val="00974A93"/>
    <w:rsid w:val="00975B07"/>
    <w:rsid w:val="00980B4A"/>
    <w:rsid w:val="009820AA"/>
    <w:rsid w:val="00982AEE"/>
    <w:rsid w:val="009909D7"/>
    <w:rsid w:val="00991E06"/>
    <w:rsid w:val="009C39EE"/>
    <w:rsid w:val="009C7903"/>
    <w:rsid w:val="009E2679"/>
    <w:rsid w:val="009E3D0A"/>
    <w:rsid w:val="009E48DF"/>
    <w:rsid w:val="009E51FC"/>
    <w:rsid w:val="009F1D28"/>
    <w:rsid w:val="009F7618"/>
    <w:rsid w:val="00A007F8"/>
    <w:rsid w:val="00A020EB"/>
    <w:rsid w:val="00A04D23"/>
    <w:rsid w:val="00A06766"/>
    <w:rsid w:val="00A13765"/>
    <w:rsid w:val="00A17473"/>
    <w:rsid w:val="00A21B12"/>
    <w:rsid w:val="00A23F80"/>
    <w:rsid w:val="00A32ED2"/>
    <w:rsid w:val="00A43AE1"/>
    <w:rsid w:val="00A46E98"/>
    <w:rsid w:val="00A61073"/>
    <w:rsid w:val="00A6352B"/>
    <w:rsid w:val="00A6718F"/>
    <w:rsid w:val="00A701B5"/>
    <w:rsid w:val="00A70940"/>
    <w:rsid w:val="00A714BB"/>
    <w:rsid w:val="00A77AB9"/>
    <w:rsid w:val="00A81087"/>
    <w:rsid w:val="00A92D8F"/>
    <w:rsid w:val="00A972D4"/>
    <w:rsid w:val="00AA319F"/>
    <w:rsid w:val="00AB2988"/>
    <w:rsid w:val="00AB7999"/>
    <w:rsid w:val="00AD3292"/>
    <w:rsid w:val="00AE7AF0"/>
    <w:rsid w:val="00B26978"/>
    <w:rsid w:val="00B275B3"/>
    <w:rsid w:val="00B32392"/>
    <w:rsid w:val="00B500CA"/>
    <w:rsid w:val="00B54F0B"/>
    <w:rsid w:val="00B55EF9"/>
    <w:rsid w:val="00B82E3B"/>
    <w:rsid w:val="00B86314"/>
    <w:rsid w:val="00B865CF"/>
    <w:rsid w:val="00BA1C2E"/>
    <w:rsid w:val="00BB2F51"/>
    <w:rsid w:val="00BC200B"/>
    <w:rsid w:val="00BC3795"/>
    <w:rsid w:val="00BC4756"/>
    <w:rsid w:val="00BC69A4"/>
    <w:rsid w:val="00BC6A9D"/>
    <w:rsid w:val="00BC7EEE"/>
    <w:rsid w:val="00BE0680"/>
    <w:rsid w:val="00BE305F"/>
    <w:rsid w:val="00BE7BA3"/>
    <w:rsid w:val="00BF5682"/>
    <w:rsid w:val="00BF7B09"/>
    <w:rsid w:val="00C20A95"/>
    <w:rsid w:val="00C234AA"/>
    <w:rsid w:val="00C24406"/>
    <w:rsid w:val="00C2692F"/>
    <w:rsid w:val="00C3207C"/>
    <w:rsid w:val="00C400E1"/>
    <w:rsid w:val="00C41187"/>
    <w:rsid w:val="00C52489"/>
    <w:rsid w:val="00C63C31"/>
    <w:rsid w:val="00C64B66"/>
    <w:rsid w:val="00C660F9"/>
    <w:rsid w:val="00C7187C"/>
    <w:rsid w:val="00C73D1E"/>
    <w:rsid w:val="00C757A0"/>
    <w:rsid w:val="00C760DE"/>
    <w:rsid w:val="00C82630"/>
    <w:rsid w:val="00C85B4E"/>
    <w:rsid w:val="00C907F7"/>
    <w:rsid w:val="00C908D5"/>
    <w:rsid w:val="00CA2103"/>
    <w:rsid w:val="00CB6B99"/>
    <w:rsid w:val="00CD7E51"/>
    <w:rsid w:val="00CE4C87"/>
    <w:rsid w:val="00CE544A"/>
    <w:rsid w:val="00D04E8F"/>
    <w:rsid w:val="00D11E1C"/>
    <w:rsid w:val="00D13E60"/>
    <w:rsid w:val="00D160B0"/>
    <w:rsid w:val="00D17F94"/>
    <w:rsid w:val="00D223FC"/>
    <w:rsid w:val="00D26D1E"/>
    <w:rsid w:val="00D41522"/>
    <w:rsid w:val="00D474CF"/>
    <w:rsid w:val="00D5547E"/>
    <w:rsid w:val="00D56CBA"/>
    <w:rsid w:val="00D75AF5"/>
    <w:rsid w:val="00D869A1"/>
    <w:rsid w:val="00DA1B24"/>
    <w:rsid w:val="00DA413F"/>
    <w:rsid w:val="00DA4584"/>
    <w:rsid w:val="00DA614B"/>
    <w:rsid w:val="00DB49B2"/>
    <w:rsid w:val="00DC3060"/>
    <w:rsid w:val="00DC4026"/>
    <w:rsid w:val="00DD6CAE"/>
    <w:rsid w:val="00DE0FB2"/>
    <w:rsid w:val="00DE74F5"/>
    <w:rsid w:val="00DF093E"/>
    <w:rsid w:val="00E01F42"/>
    <w:rsid w:val="00E206D6"/>
    <w:rsid w:val="00E22887"/>
    <w:rsid w:val="00E3366E"/>
    <w:rsid w:val="00E45E35"/>
    <w:rsid w:val="00E52086"/>
    <w:rsid w:val="00E53961"/>
    <w:rsid w:val="00E543A6"/>
    <w:rsid w:val="00E55B39"/>
    <w:rsid w:val="00E60479"/>
    <w:rsid w:val="00E61D73"/>
    <w:rsid w:val="00E73684"/>
    <w:rsid w:val="00E818D6"/>
    <w:rsid w:val="00E87F7A"/>
    <w:rsid w:val="00E9675D"/>
    <w:rsid w:val="00E96BD7"/>
    <w:rsid w:val="00EA0DB1"/>
    <w:rsid w:val="00EA0EE9"/>
    <w:rsid w:val="00EA256C"/>
    <w:rsid w:val="00EC3F9A"/>
    <w:rsid w:val="00ED3E88"/>
    <w:rsid w:val="00ED4170"/>
    <w:rsid w:val="00ED52CA"/>
    <w:rsid w:val="00ED5860"/>
    <w:rsid w:val="00EE35C9"/>
    <w:rsid w:val="00EE5166"/>
    <w:rsid w:val="00EF103F"/>
    <w:rsid w:val="00EF698A"/>
    <w:rsid w:val="00F00C70"/>
    <w:rsid w:val="00F05ECA"/>
    <w:rsid w:val="00F06763"/>
    <w:rsid w:val="00F20470"/>
    <w:rsid w:val="00F34E07"/>
    <w:rsid w:val="00F3566E"/>
    <w:rsid w:val="00F375FB"/>
    <w:rsid w:val="00F41AC1"/>
    <w:rsid w:val="00F4367A"/>
    <w:rsid w:val="00F445B1"/>
    <w:rsid w:val="00F45CD4"/>
    <w:rsid w:val="00F47090"/>
    <w:rsid w:val="00F66DCA"/>
    <w:rsid w:val="00F74F53"/>
    <w:rsid w:val="00F7606D"/>
    <w:rsid w:val="00F814B4"/>
    <w:rsid w:val="00F81670"/>
    <w:rsid w:val="00F82024"/>
    <w:rsid w:val="00F84446"/>
    <w:rsid w:val="00F95BC9"/>
    <w:rsid w:val="00FA52F6"/>
    <w:rsid w:val="00FA624C"/>
    <w:rsid w:val="00FB7D2C"/>
    <w:rsid w:val="00FC3BA8"/>
    <w:rsid w:val="00FD0FAC"/>
    <w:rsid w:val="00FD1DFA"/>
    <w:rsid w:val="00FD4966"/>
    <w:rsid w:val="00FD7817"/>
    <w:rsid w:val="00FE0570"/>
    <w:rsid w:val="00FE57DC"/>
    <w:rsid w:val="00FF5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link w:val="CommentText"/>
    <w:uiPriority w:val="99"/>
    <w:semiHidden/>
    <w:rsid w:val="00017B5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link w:val="CommentText"/>
    <w:uiPriority w:val="99"/>
    <w:semiHidden/>
    <w:rsid w:val="00017B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26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rundle\Downloads\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89CE-D977-4B02-B080-F66A9D31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4</TotalTime>
  <Pages>4</Pages>
  <Words>1146</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david.rundle</dc:creator>
  <cp:lastModifiedBy>JMitchell</cp:lastModifiedBy>
  <cp:revision>3</cp:revision>
  <cp:lastPrinted>2017-11-01T15:39:00Z</cp:lastPrinted>
  <dcterms:created xsi:type="dcterms:W3CDTF">2019-01-16T13:52:00Z</dcterms:created>
  <dcterms:modified xsi:type="dcterms:W3CDTF">2019-01-28T09:56:00Z</dcterms:modified>
</cp:coreProperties>
</file>